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Пользовательское соглашение и правила Сервиса</w:t>
      </w:r>
    </w:p>
    <w:p>
      <w:r>
        <w:t>Условия доступа к Смета М2 Pro, создания заказов и взаимодействия участников ремонта.</w:t>
      </w:r>
    </w:p>
    <w:p>
      <w:r>
        <w:t>Редакция № 4 от 5 октября 2026 года. Код 2026-10-05-r4.</w:t>
      </w:r>
    </w:p>
    <w:p>
      <w:pPr>
        <w:pStyle w:val="Heading2"/>
      </w:pPr>
      <w:r>
        <w:t>1. Общие положения</w:t>
      </w:r>
    </w:p>
    <w:p>
      <w:r>
        <w:t>ООО «Квадратный метр», ИНН 7203470484, ОГРН 1197232001504, КПП 720301001, адрес: Тюменская область, г. Тюмень, ул. Республики, д. 252, к. 7, офис 410 (далее — «Оператор» или «Сервис»). Настоящий документ является публичной офертой Оператора и определяет условия использования информационной платформы «Смета М2 Pro», включая сайт, личные кабинеты, мобильный интерфейс, API, уведомления и связанные с ними программные средства.</w:t>
      </w:r>
    </w:p>
    <w:p>
      <w:r>
        <w:t>Оферта адресована физическим лицам, самозанятым, индивидуальным предпринимателям и юридическим лицам. Лицо, действующее от имени организации, заверяет, что обладает необходимыми полномочиями. Если полномочия прекратились, такое лицо и организация обязаны незамедлительно уведомить Оператора.</w:t>
      </w:r>
    </w:p>
    <w:p>
      <w:r>
        <w:t>Полным и безоговорочным акцептом признается одновременное совершение следующих действий: ознакомление с документом, проставление обязательной отметки согласия и завершение регистрации либо подтверждение действия, для которого Сервис повторно показывает условия. Момент акцепта фиксируется в информационной системе Оператора.</w:t>
      </w:r>
    </w:p>
    <w:p>
      <w:r>
        <w:t>Соглашение считается заключенным в электронной форме по месту нахождения Оператора. Текст принятой редакции, дата, время, идентификатор учетной записи, IP-адрес и сведения о пользовательском устройстве могут храниться как доказательства заключения Соглашения.</w:t>
      </w:r>
    </w:p>
    <w:p>
      <w:r>
        <w:t>Если Пользователь не согласен хотя бы с одним условием, он не вправе завершать регистрацию или использовать соответствующую функцию Сервиса.</w:t>
      </w:r>
    </w:p>
    <w:p>
      <w:pPr>
        <w:pStyle w:val="Heading2"/>
      </w:pPr>
      <w:r>
        <w:t>2. Назначение Сервиса</w:t>
      </w:r>
    </w:p>
    <w:p>
      <w:pPr>
        <w:pStyle w:val="ListBullet"/>
      </w:pPr>
      <w:r>
        <w:t>Сервис помогает заказчикам, мастерам, замерщикам, партнерам и администраторам оформлять заявки, сметы, договоры, акты, дополнительные работы и расчеты.</w:t>
      </w:r>
    </w:p>
    <w:p>
      <w:pPr>
        <w:pStyle w:val="ListBullet"/>
      </w:pPr>
      <w:r>
        <w:t>Оператор предоставляет техническую площадку и сопровождение сделки, но не становится подрядчиком, заказчиком или работодателем участников, если иное прямо не указано в отдельном договоре.</w:t>
      </w:r>
    </w:p>
    <w:p>
      <w:pPr>
        <w:pStyle w:val="ListBullet"/>
      </w:pPr>
      <w:r>
        <w:t>Банк, обслуживающий номинальный счет, не является стороной договора на выполнение работ и не отвечает за их качество, объем или сроки.</w:t>
      </w:r>
    </w:p>
    <w:p>
      <w:pPr>
        <w:pStyle w:val="Heading2"/>
      </w:pPr>
      <w:r>
        <w:t>3. Учетная запись и роли</w:t>
      </w:r>
    </w:p>
    <w:p>
      <w:r>
        <w:t>Пользователь обязан обеспечивать сохранность доступа, не передавать коды подтверждения третьим лицам и незамедлительно сообщать о подозрении на компрометацию. Действия, выполненные после надлежащей идентификации, считаются действиями владельца учетной записи до получения Оператором сообщения о компрометации.</w:t>
      </w:r>
    </w:p>
    <w:p>
      <w:pPr>
        <w:pStyle w:val="ListBullet"/>
      </w:pPr>
      <w:r>
        <w:t>Заказчик создает заявку, выбирает исполнителя, согласовывает документы и принимает работы.</w:t>
      </w:r>
    </w:p>
    <w:p>
      <w:pPr>
        <w:pStyle w:val="ListBullet"/>
      </w:pPr>
      <w:r>
        <w:t>Мастер предлагает условия и выполняет работы; замерщик проводит замер и формирует результат; партнер может передать в Сервис сформированный проект.</w:t>
      </w:r>
    </w:p>
    <w:p>
      <w:pPr>
        <w:pStyle w:val="ListBullet"/>
      </w:pPr>
      <w:r>
        <w:t>Администратор проверяет данные и сопровождает процесс, не подменяя волеизъявление сторон.</w:t>
      </w:r>
    </w:p>
    <w:p>
      <w:pPr>
        <w:pStyle w:val="Heading2"/>
      </w:pPr>
      <w:r>
        <w:t>4. Заказы и документы</w:t>
      </w:r>
    </w:p>
    <w:p>
      <w:r>
        <w:t>Существенные условия конкретной сделки определяются договором, сметой, дополнительными соглашениями и актами. До подписания пользователь обязан проверить предмет, цену, сроки, реквизиты и приложения.</w:t>
      </w:r>
    </w:p>
    <w:p>
      <w:r>
        <w:t>Файлы, фото, видео, голосовые сообщения и переписка могут использоваться как материалы заказа и доказательства согласованного объема работ.</w:t>
      </w:r>
    </w:p>
    <w:p>
      <w:pPr>
        <w:pStyle w:val="Heading2"/>
      </w:pPr>
      <w:r>
        <w:t>5. Стоимость и комиссия</w:t>
      </w:r>
    </w:p>
    <w:p>
      <w:r>
        <w:t>Расчеты по заказам проводятся через номинальный счет ООО «Квадратный метр» в ООО «Банк Точка». Бенефициар средств заказа — Заказчик; при выплате Мастеру, Партнеру и Оператору он не заменяется другим лицом. Порядок определяется Правилами безопасных расчетов и номинального счета.</w:t>
      </w:r>
    </w:p>
    <w:p>
      <w:r>
        <w:t>Полная цена заказа включает вознаграждение Мастера, комиссию Сервиса и партнерскую часть, если она предусмотрена. Точные суммы и процент Партнера фиксируются в договоре до подписания. Вознаграждение Оператора состоит из комиссии Сервиса и партнерской части. Заказчик поручает перечислить партнерскую часть непосредственно Партнеру в исполнение обязательства Оператора за привлечение Заказчика или передачу проекта, в счет оплаты услуг Оператора без повторного удержания.</w:t>
      </w:r>
    </w:p>
    <w:p>
      <w:r>
        <w:t>При частичной оплате предоплата вносится в течение трех рабочих дней после подписания комплекта документов и до начала работ; при постоплате предоплата не требуется. Остаток по принятому акту вносится в течение трех рабочих дней после подписания акта обеими сторонами и выставления счета. Выплаты доступны только по принятым и обеспеченным поступлениями работам при отсутствии спора или отмены; подробно — в Правилах расчетов.</w:t>
      </w:r>
    </w:p>
    <w:p>
      <w:r>
        <w:t>Условия уже подписанной сделки не меняются последующим изменением настроек. Принятая редакция Правил и сведения о подтверждении сохраняются. Существенно измененная редакция требует нового активного подтверждения, а изменение подписанного договора — согласия его сторон.</w:t>
      </w:r>
    </w:p>
    <w:p>
      <w:pPr>
        <w:pStyle w:val="Heading2"/>
      </w:pPr>
      <w:r>
        <w:t>6. Обязанности и ограничения</w:t>
      </w:r>
    </w:p>
    <w:p>
      <w:pPr>
        <w:pStyle w:val="ListBullet"/>
      </w:pPr>
      <w:r>
        <w:t>Не размещать незаконные, недостоверные или нарушающие права третьих лиц материалы.</w:t>
      </w:r>
    </w:p>
    <w:p>
      <w:pPr>
        <w:pStyle w:val="ListBullet"/>
      </w:pPr>
      <w:r>
        <w:t>Не обходить предусмотренный Сервисом порядок расчетов и идентификации в отношении оформленной через Сервис сделки.</w:t>
      </w:r>
    </w:p>
    <w:p>
      <w:pPr>
        <w:pStyle w:val="ListBullet"/>
      </w:pPr>
      <w:r>
        <w:t>Не использовать контактные и персональные данные вне целей конкретной сделки.</w:t>
      </w:r>
    </w:p>
    <w:p>
      <w:pPr>
        <w:pStyle w:val="ListBullet"/>
      </w:pPr>
      <w:r>
        <w:t>Самостоятельно исполнять налоговые и профессиональные обязанности, применимые к своему статусу.</w:t>
      </w:r>
    </w:p>
    <w:p>
      <w:pPr>
        <w:pStyle w:val="Heading2"/>
      </w:pPr>
      <w:r>
        <w:t>7. Ответственность</w:t>
      </w:r>
    </w:p>
    <w:p>
      <w:r>
        <w:t>Стороны отвечают за нарушение обязательств по закону и документам сделки. Оператор отвечает за работу Сервиса в пределах реально причиненного и документально подтвержденного ущерба, но не отвечает за действия участников, качество связи, банков и иных внешних систем.</w:t>
      </w:r>
    </w:p>
    <w:p>
      <w:r>
        <w:t>Технические работы, обязательные требования закона и угрозы безопасности могут вызвать временное ограничение доступа.</w:t>
      </w:r>
    </w:p>
    <w:p>
      <w:pPr>
        <w:pStyle w:val="Heading2"/>
      </w:pPr>
      <w:r>
        <w:t>8. Срок действия и изменения</w:t>
      </w:r>
    </w:p>
    <w:p>
      <w:r>
        <w:t>Соглашение действует с момента акцепта до удаления учетной записи и завершения обязательств. Новая редакция публикуется на этой странице. Для существенных изменений Оператор запрашивает повторное согласие, когда это требуется законом или характером изменений.</w:t>
      </w:r>
    </w:p>
    <w:p>
      <w:pPr>
        <w:pStyle w:val="Heading2"/>
      </w:pPr>
      <w:r>
        <w:t>9. Обращения</w:t>
      </w:r>
    </w:p>
    <w:p>
      <w:r>
        <w:t>Юридически значимые обращения направляются через раздел поддержки либо на support@kvadrat-m2.com. Применяется право Российской Федерации. До обращения в суд стороны стремятся урегулировать спор в претензионном порядке.</w:t>
      </w:r>
    </w:p>
    <w:p>
      <w:pPr>
        <w:pStyle w:val="Heading2"/>
      </w:pPr>
      <w:r>
        <w:t>10. Термины</w:t>
      </w:r>
    </w:p>
    <w:p>
      <w:pPr>
        <w:pStyle w:val="ListBullet"/>
      </w:pPr>
      <w:r>
        <w:t>Платформа — информационная система Смета М2 Pro, обеспечивающая обмен данными и документами между участниками.</w:t>
      </w:r>
    </w:p>
    <w:p>
      <w:pPr>
        <w:pStyle w:val="ListBullet"/>
      </w:pPr>
      <w:r>
        <w:t>Пользователь — лицо, акцептовавшее Соглашение и использующее Платформу в одной или нескольких доступных ролях.</w:t>
      </w:r>
    </w:p>
    <w:p>
      <w:pPr>
        <w:pStyle w:val="ListBullet"/>
      </w:pPr>
      <w:r>
        <w:t>Заказ — совокупность сведений о проекте, участниках, объекте, работах, сроках, цене, документах, платежах и событиях.</w:t>
      </w:r>
    </w:p>
    <w:p>
      <w:pPr>
        <w:pStyle w:val="ListBullet"/>
      </w:pPr>
      <w:r>
        <w:t>Сделка — договор подряда, оказания услуг либо иной гражданско-правовой договор, который Заказчик и Исполнитель заключают с использованием Платформы.</w:t>
      </w:r>
    </w:p>
    <w:p>
      <w:pPr>
        <w:pStyle w:val="ListBullet"/>
      </w:pPr>
      <w:r>
        <w:t>Материалы — фотографии, видео, аудиозаписи, комментарии и иные файлы, приложенные к Заказу; Документы — договоры, сметы, дополнительные соглашения, акты, счета и документы об оплате.</w:t>
      </w:r>
    </w:p>
    <w:p>
      <w:pPr>
        <w:pStyle w:val="ListBullet"/>
      </w:pPr>
      <w:r>
        <w:t>Исполнитель — мастер, организация или иное лицо, принявшее на себя обязанность выполнить работы; Замерщик — лицо, которое проводит замер и формирует результат; Партнер — лицо, передающее проект или привлекающее пользователя.</w:t>
      </w:r>
    </w:p>
    <w:p>
      <w:pPr>
        <w:pStyle w:val="Heading2"/>
      </w:pPr>
      <w:r>
        <w:t>11. Регистрация, идентификация и достоверность сведений</w:t>
      </w:r>
    </w:p>
    <w:p>
      <w:r>
        <w:t>Для регистрации Пользователь предоставляет актуальные телефон и адрес электронной почты, а в предусмотренных случаях — ФИО, дату рождения, паспортные, налоговые, банковские и профессиональные сведения. Оператор вправе проверять сведения самостоятельно и с привлечением уполномоченных партнеров.</w:t>
      </w:r>
    </w:p>
    <w:p>
      <w:r>
        <w:t>Пользователь отвечает за достоверность, полноту и своевременное обновление сведений. Использование вымышленных данных, чужих документов, номеров телефонов, банковских реквизитов или статуса плательщика запрещено.</w:t>
      </w:r>
    </w:p>
    <w:p>
      <w:r>
        <w:t>Оператор вправе ограничить отдельные функции до завершения проверки, а также повторно запросить документы при изменении сведений, истечении срока действия документа, выявлении расхождений или в силу требований закона и банка.</w:t>
      </w:r>
    </w:p>
    <w:p>
      <w:pPr>
        <w:pStyle w:val="Heading2"/>
      </w:pPr>
      <w:r>
        <w:t>12. Заключение и исполнение Сделки</w:t>
      </w:r>
    </w:p>
    <w:p>
      <w:r>
        <w:t>Заявка сама по себе не является гарантией заключения Сделки. Сделка возникает после согласования сторонами существенных условий и подписания сформированного пакета документов, если иной момент прямо не указан в интерфейсе и документах Заказа.</w:t>
      </w:r>
    </w:p>
    <w:p>
      <w:r>
        <w:t>При расхождении между карточкой Заказа и подписанными документами приоритет имеют подписанный договор, его приложения и последующие дополнительные соглашения. Более поздняя подписанная версия заменяет предыдущую только в явно измененной части.</w:t>
      </w:r>
    </w:p>
    <w:p>
      <w:r>
        <w:t>Заказчик и Исполнитель самостоятельно оценивают возможность, законность и экономическую целесообразность Сделки. Оператор не дает профессиональных строительных, инженерных, налоговых или юридических гарантий относительно конкретного Заказа.</w:t>
      </w:r>
    </w:p>
    <w:p>
      <w:pPr>
        <w:pStyle w:val="Heading2"/>
      </w:pPr>
      <w:r>
        <w:t>13. Материалы, интеллектуальные права и конфиденциальность</w:t>
      </w:r>
    </w:p>
    <w:p>
      <w:r>
        <w:t>Загружая Материалы, Пользователь подтверждает наличие прав и законных оснований для их использования и передачи другим участникам Заказа. Пользователь предоставляет Оператору безвозмездное неисключительное право хранить, технически преобразовывать, воспроизводить и показывать Материалы исключительно для работы Платформы, исполнения Сделки, поддержки и защиты прав.</w:t>
      </w:r>
    </w:p>
    <w:p>
      <w:r>
        <w:t>Контактные данные, планы помещений, фотографии объекта, сметы и иные непубличные сведения разрешено использовать только для соответствующего Заказа. Их публикация, продажа, массовая рассылка или использование для посторонней рекламы запрещены.</w:t>
      </w:r>
    </w:p>
    <w:p>
      <w:r>
        <w:t>При получении обоснованного сообщения о нарушении Оператор вправе ограничить доступ к спорному материалу на время проверки. Удаление из интерфейса не означает немедленного уничтожения резервных копий или сведений, подлежащих обязательному хранению.</w:t>
      </w:r>
    </w:p>
    <w:p>
      <w:pPr>
        <w:pStyle w:val="Heading2"/>
      </w:pPr>
      <w:r>
        <w:t>14. Проверка, блокирование и прекращение доступа</w:t>
      </w:r>
    </w:p>
    <w:p>
      <w:r>
        <w:t>Оператор вправе применять автоматизированную и ручную проверку заявок, профилей, документов, операций и сообщений для защиты участников и соблюдения закона. Проверка не означает принятия Оператором ответственности за достоверность всех сведений.</w:t>
      </w:r>
    </w:p>
    <w:p>
      <w:r>
        <w:t>Доступ может быть временно ограничен при подозрении на мошенничество, компрометацию учетной записи, нарушение прав третьих лиц, обход расчетов, предоставление недостоверных сведений, неисполнение обязательного требования Оператора, банка или государственного органа.</w:t>
      </w:r>
    </w:p>
    <w:p>
      <w:r>
        <w:t>До постоянной блокировки Оператор, когда это не запрещено законом и не создает угрозу безопасности, сообщает причину и предоставляет разумную возможность дать пояснения. Завершение доступа не прекращает возникшие денежные обязательства, обязанности по конфиденциальности и хранению доказательств.</w:t>
      </w:r>
    </w:p>
    <w:p>
      <w:pPr>
        <w:pStyle w:val="Heading2"/>
      </w:pPr>
      <w:r>
        <w:t>15. Заверения и распределение рисков</w:t>
      </w:r>
    </w:p>
    <w:p>
      <w:r>
        <w:t>Каждый участник заверяет, что обладает необходимой дееспособностью, разрешениями, квалификацией и полномочиями для своих действий. Исполнитель самостоятельно отвечает за технологию, безопасность и качество работ, Заказчик — за законность доступа к объекту и достоверность исходных данных.</w:t>
      </w:r>
    </w:p>
    <w:p>
      <w:r>
        <w:t>Платформа предоставляется по принципу «как есть» с учетом ее назначения. Оператор принимает разумные меры для доступности, но не гарантирует непрерывность при авариях связи, действиях облачных, банковских и коммуникационных провайдеров, обязательных обновлениях или обстоятельствах непреодолимой силы.</w:t>
      </w:r>
    </w:p>
    <w:p>
      <w:r>
        <w:t>Ни одно условие не ограничивает права потребителя и ответственность, которую нельзя исключить соглашением по императивным нормам закона.</w:t>
      </w:r>
    </w:p>
    <w:p>
      <w:pPr>
        <w:pStyle w:val="Heading2"/>
      </w:pPr>
      <w:r>
        <w:t>16. Претензионный порядок и подсудность</w:t>
      </w:r>
    </w:p>
    <w:p>
      <w:r>
        <w:t>Претензия должна содержать данные заявителя, номер Заказа, описание обстоятельств, конкретное требование, расчет суммы и подтверждающие материалы. Оператор вправе запросить сведения, без которых объективная проверка невозможна.</w:t>
      </w:r>
    </w:p>
    <w:p>
      <w:r>
        <w:t>Претензия рассматривается в срок до 30 календарных дней, если более короткий срок не установлен законом. Ответ направляется на подтвержденный email или в личный кабинет.</w:t>
      </w:r>
    </w:p>
    <w:p>
      <w:r>
        <w:t>Спор передается в суд после соблюдения обязательного претензионного порядка. Территориальная подсудность определяется законом; права потребителя на выбор суда сохраняются.</w:t>
      </w:r>
    </w:p>
    <w:p>
      <w:pPr>
        <w:pStyle w:val="Heading2"/>
      </w:pPr>
      <w:r>
        <w:t>17. Заключительные положения</w:t>
      </w:r>
    </w:p>
    <w:p>
      <w:r>
        <w:t>Недействительность отдельного положения не влечет недействительности Соглашения в целом. Бездействие Оператора при одном нарушении не является отказом от права реагировать на последующие нарушения.</w:t>
      </w:r>
    </w:p>
    <w:p>
      <w:r>
        <w:t>Оператор вправе обновить Соглашение в связи с изменением закона, функций или модели расчетов. Существенные изменения применяются к новым действиям после уведомления и, когда необходимо, повторного акцепта; уже подписанные документы Сделки сохраняют силу в своей редакции.</w:t>
      </w:r>
    </w:p>
    <w:p>
      <w:r>
        <w:t>Актуальная редакция и архив версий размещаются на сайте. Пользователь вправе сохранить или распечатать документ.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