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Правила безопасных расчетов и номинального счета</w:t>
      </w:r>
    </w:p>
    <w:p>
      <w:r>
        <w:t>Порядок приема, учета, удержания и перечисления денег по заказам.</w:t>
      </w:r>
    </w:p>
    <w:p>
      <w:r>
        <w:t>Редакция № 4 от 5 октября 2026 года. Код 2026-10-05-r4.</w:t>
      </w:r>
    </w:p>
    <w:p>
      <w:pPr>
        <w:pStyle w:val="Heading2"/>
      </w:pPr>
      <w:r>
        <w:t>1 Участники расчетов</w:t>
      </w:r>
    </w:p>
    <w:p>
      <w:r>
        <w:t>ООО «Квадратный метр», ИНН 7203470484, ОГРН 1197232001504, КПП 720301001, адрес: Тюменская область, г. Тюмень, ул. Республики, д. 252, к. 7, офис 410 (Оператор) является владельцем номинального счета в ООО «Банк Точка». АО «Точка» предоставляет технологическую инфраструктуру. Расчеты по заказам выполняются через этот номинальный счет.</w:t>
      </w:r>
    </w:p>
    <w:p>
      <w:r>
        <w:t>Единственный бенефициар денежных средств конкретного заказа на номинальном счете — Заказчик, указанный в договоре подряда. Он сохраняет этот статус до перечисления средств с номинального счета. Смена бенефициара на Мастера, Партнера или Оператора не производится. Они являются получателями выплат, а не новыми бенефициарами средств Заказчика.</w:t>
      </w:r>
    </w:p>
    <w:p>
      <w:r>
        <w:t>Виртуальный счет — аналитический учет средств Заказчика внутри номинального счета, а не отдельный банковский счет. Расчеты за замер, которые оплачивает Оператор из собственных средств, ведутся отдельно и не списываются с остатка Заказчика по договору подряда.</w:t>
      </w:r>
    </w:p>
    <w:p>
      <w:pPr>
        <w:pStyle w:val="Heading2"/>
      </w:pPr>
      <w:r>
        <w:t>2 Согласие на расчеты</w:t>
      </w:r>
    </w:p>
    <w:p>
      <w:r>
        <w:t>Правила входят в Пользовательское соглашение. Заказчик принимает действующую редакцию отдельным подтверждением в личном кабинете и подписывает документы конкретной сделки. Оператор хранит полный принятый текст, его контрольную сумму, версию, идентификатор Пользователя, дату и время подтверждения и технические сведения о подтверждении.</w:t>
      </w:r>
    </w:p>
    <w:p>
      <w:r>
        <w:t>Заказчик поручает Оператору направлять банку распоряжения о выплате Мастеру, перечислении комиссии Оператору и прямой выплате Партнеру в пределах сумм, прямо указанных в документах заказа. Само пополнение счета не дает права перечислить деньги без основания выплаты.</w:t>
      </w:r>
    </w:p>
    <w:p>
      <w:pPr>
        <w:pStyle w:val="Heading2"/>
      </w:pPr>
      <w:r>
        <w:t>3 Состав цены</w:t>
      </w:r>
    </w:p>
    <w:p>
      <w:r>
        <w:t>Полная цена заказа равна сумме вознаграждения Мастера, комиссии Сервиса и партнерского вознаграждения. Проценты и точные суммы в рублях и копейках фиксируются для конкретной сделки и включаются в подписываемый договор. Если Партнера нет или заказ не дает права на вознаграждение, партнерская сумма равна нулю.</w:t>
      </w:r>
    </w:p>
    <w:p>
      <w:r>
        <w:t>Вознаграждение Оператора за организацию заказа состоит из комиссии Сервиса и партнерской части. Партнерская часть оплачивает обязательство Оператора перед Партнером за привлечение Заказчика или передачу проекта. По поручению Заказчика эта часть перечисляется непосредственно Партнеру с виртуального счета Заказчика в счет оплаты услуг Оператора. Повторная оплата той же части Оператору исключена. Заказчик не оплачивает Партнеру самостоятельные ремонтные или замерные работы.</w:t>
      </w:r>
    </w:p>
    <w:p>
      <w:r>
        <w:t>Изменение общих настроек или условий Партнера применяется к новым сделкам и не изменяет суммы уже заключенной сделки. Увеличение цены требует подписанного дополнительного соглашения.</w:t>
      </w:r>
    </w:p>
    <w:p>
      <w:pPr>
        <w:pStyle w:val="Heading2"/>
      </w:pPr>
      <w:r>
        <w:t>4 Сроки внесения средств</w:t>
      </w:r>
    </w:p>
    <w:p>
      <w:r>
        <w:t>При частичной предоплате Заказчик вносит указанную в договоре сумму в течение трех рабочих дней после подписания комплекта документов обеими сторонами и до начала работ. При постоплате предоплата составляет ноль и до приемки работ не требуется.</w:t>
      </w:r>
    </w:p>
    <w:p>
      <w:r>
        <w:t>Заказчик вносит остаток за принятый этап или завершенные работы в течение трех рабочих дней после подписания акта обеими сторонами и выставления счета в Сервисе. Ранее внесенная предоплата засчитывается, повторно платить ту же сумму не нужно. Для дополнительных работ размер и режим оплаты определяются подписанным дополнительным соглашением; те же сроки внесения применяются к предоплате и счету по дополнительным работам.</w:t>
      </w:r>
    </w:p>
    <w:p>
      <w:r>
        <w:t>Зачисление подтверждается банком и связывается с конкретным заказом и Заказчиком. Списание денег со счета плательщика само по себе не означает, что номинальный счет пополнен. При отсутствии поступления в срок работы могут быть приостановлены в порядке договора; деньги автоматически не списываются.</w:t>
      </w:r>
    </w:p>
    <w:p>
      <w:pPr>
        <w:pStyle w:val="Heading2"/>
      </w:pPr>
      <w:r>
        <w:t>5 Основания выплаты Мастеру</w:t>
      </w:r>
    </w:p>
    <w:p>
      <w:r>
        <w:t>Доступная сумма выплаты появляется только по акту, подписанному Мастером и Заказчиком, который обеспечен подтвержденными поступлениями по этому заказу. Для акта по дополнительным работам требуется оплата соответствующего счета. Должны отсутствовать открытый спор или отмена сделки, а реквизиты и обязательные проверки получателя должны быть завершены.</w:t>
      </w:r>
    </w:p>
    <w:p>
      <w:r>
        <w:t>Получатель подает заявку на выплату в кабинете. Оператор формирует распоряжение банку по проверенной заявке после подтверждения оснований. Время зачисления зависит от банка и обязательных проверок; статус «заявка» или «доступно» не является подтверждением банковского перечисления.</w:t>
      </w:r>
    </w:p>
    <w:p>
      <w:r>
        <w:t>Одно лишь истечение срока ответа Заказчика, отметка о выполнении работ или внесение предоплаты не запускают банковскую выплату. Даже если договор предусматривает последствия уклонения от приемки, Сервис не заменяет этим событием подписанный акт для автоматической выплаты.</w:t>
      </w:r>
    </w:p>
    <w:p>
      <w:pPr>
        <w:pStyle w:val="Heading2"/>
      </w:pPr>
      <w:r>
        <w:t>6 Частичные расчеты</w:t>
      </w:r>
    </w:p>
    <w:p>
      <w:r>
        <w:t>Пусть М — полное вознаграждение Мастера по основным работам, А — сумма основных работ по подписанным актам, обеспеченным поступлениями, П — полное партнерское вознаграждение, С — комиссия Сервиса. Для распределения используется А, ограниченная величиной М. Накопленное вознаграждение Партнера равно округленной до копейки сумме П × А / М, но не более П; комиссия Сервиса рассчитывается аналогично С × А / М. При М = 0 начисление не производится.</w:t>
      </w:r>
    </w:p>
    <w:p>
      <w:r>
        <w:t>Доступная к новой выплате сумма уменьшается на уже выплаченные суммы и активные заявки. Полная выплата по основным работам не превышает зафиксированные суммы. Дополнительные работы не увеличивают партнерскую часть; их цена распределяется между Мастером и Сервисом согласно дополнительному соглашению.</w:t>
      </w:r>
    </w:p>
    <w:p>
      <w:pPr>
        <w:pStyle w:val="Heading2"/>
      </w:pPr>
      <w:r>
        <w:t>7 Основания партнерской выплаты</w:t>
      </w:r>
    </w:p>
    <w:p>
      <w:r>
        <w:t>Партнер получает вознаграждение Оператора за привлечение Заказчика либо передачу подготовленного проекта, а не оплату самостоятельной услуги Заказчику. Основание привязки Заказчика и заказа определяется Правилами партнерской программы. Вознаграждение доступно по принятым и оплаченным основным работам по формуле раздела 6, независимо от того, вывел ли Мастер свою сумму и получил ли Оператор комиссию на расчетный счет.</w:t>
      </w:r>
    </w:p>
    <w:p>
      <w:r>
        <w:t>Прямое перечисление Партнеру выполняется из партнерской части цены заказа по поручению Заказчика, данному в настоящих Правилах и документах заказа, в исполнение обязанности Оператора выплатить Партнеру вознаграждение. Оно не меняет бенефициара. Партнер принимает Правила партнерской программы до выплаты.</w:t>
      </w:r>
    </w:p>
    <w:p>
      <w:pPr>
        <w:pStyle w:val="Heading2"/>
      </w:pPr>
      <w:r>
        <w:t>8 Документы для банка</w:t>
      </w:r>
    </w:p>
    <w:p>
      <w:r>
        <w:t>Договор с бенефициаром включает принятые Заказчиком Пользовательское соглашение и Правила расчетов с подтверждением акцепта. Основание конкретной выплаты включает подписанный договор подряда, сведения о подписях и принятых актах, сумму заявки и реквизиты получателя.</w:t>
      </w:r>
    </w:p>
    <w:p>
      <w:r>
        <w:t>Для Партнера дополнительно формируется расчет вознаграждения: идентификаторы Заказчика, Партнера, проекта и заказа, способ атрибуции, сохраненный процент, расчетная база, полная и доступная сумма, сведения о ранее заявленных и выплаченных суммах, подтверждение принятия партнерских правил. Документ передается банку как файл PDF вместе с договором, а не как ссылка на кабинет.</w:t>
      </w:r>
    </w:p>
    <w:p>
      <w:pPr>
        <w:pStyle w:val="Heading2"/>
      </w:pPr>
      <w:r>
        <w:t>9 Возвраты и споры</w:t>
      </w:r>
    </w:p>
    <w:p>
      <w:r>
        <w:t>При открытом споре или отмене заказа новые выплаты не производятся. Неиспользованный остаток возвращается по установленному законом и документами основанию с учетом уже выплаченных сумм и активных банковских операций. Отмена банковской операции должна быть подтверждена, прежде чем ее сумма станет доступна повторно.</w:t>
      </w:r>
    </w:p>
    <w:p>
      <w:r>
        <w:t>После состоявшейся выплаты возврат от получателя производится добровольно либо по обязательному законному основанию. Оператор не списывает деньги с банковского счета получателя самостоятельно. Подробный порядок определяется Правилами отмены, возврата и рассмотрения споров.</w:t>
      </w:r>
    </w:p>
    <w:p>
      <w:pPr>
        <w:pStyle w:val="Heading2"/>
      </w:pPr>
      <w:r>
        <w:t>10 Проверки и налоги</w:t>
      </w:r>
    </w:p>
    <w:p>
      <w:r>
        <w:t>Оператор и банк вправе запросить сведения об участниках, происхождении средств, основаниях выплат и налоговом статусе. Выплаты получателям осуществляются на проверенные реквизиты; доступные статусы — самозанятый, ИП или юридическое лицо. Каждый получатель исполняет налоговые обязанности с учетом своего статуса; обязанности налогового агента определяются законом и не отменяются Правилами.</w:t>
      </w:r>
    </w:p>
    <w:p>
      <w:pPr>
        <w:pStyle w:val="Heading2"/>
      </w:pPr>
      <w:r>
        <w:t>11 Согласованность документов</w:t>
      </w:r>
    </w:p>
    <w:p>
      <w:r>
        <w:t>Договор подряда, смета, дополнительные соглашения, акты и партнерский расчет применяются совместно с настоящими Правилами. Условия распределения денег должны совпадать во всех документах заказа. Новая редакция Правил не заменяет подписанный договор и не считается принятой прежним Пользователем без нового подтверждения. Подписанные файлы и история подтверждений сохраняются.</w:t>
      </w:r>
    </w:p>
    <w:p>
      <w:pPr>
        <w:pStyle w:val="Heading2"/>
      </w:pPr>
      <w:r>
        <w:t>12 Обращения</w:t>
      </w:r>
    </w:p>
    <w:p>
      <w:r>
        <w:t>Вопросы о расчетах и расхождениях направляются через поддержку либо на support@kvadrat-m2.com с номером заказа и платежа. Банк не является стороной договора подряда и не решает строительные споры вместо участников.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