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Правила партнерской программы</w:t>
      </w:r>
    </w:p>
    <w:p>
      <w:r>
        <w:t>Условия передачи проектов и начисления партнерского вознаграждения.</w:t>
      </w:r>
    </w:p>
    <w:p>
      <w:r>
        <w:t>Редакция № 4 от 5 октября 2026 года. Код 2026-10-05-r4.</w:t>
      </w:r>
    </w:p>
    <w:p>
      <w:pPr>
        <w:pStyle w:val="Heading2"/>
      </w:pPr>
      <w:r>
        <w:t>1 Предмет партнерской программы</w:t>
      </w:r>
    </w:p>
    <w:p>
      <w:r>
        <w:t>ООО «Квадратный метр», ИНН 7203470484, ОГРН 1197232001504, КПП 720301001, адрес: Тюменская область, г. Тюмень, ул. Республики, д. 252, к. 7, офис 410 (Оператор) выплачивает Партнеру вознаграждение за привлечение Заказчика или передачу подготовленного проекта в Смета М2 Pro.</w:t>
      </w:r>
    </w:p>
    <w:p>
      <w:r>
        <w:t>В партнерской роли Пользователь не оказывает Заказчику самостоятельную оплачиваемую услугу по ремонту, замеру или составлению сметы. Передача исходной сметы и сведений о проекте служит способом привлечения заказа. Если тот же Пользователь работает Мастером или Замерщиком, такие работы оформляются и оплачиваются отдельно; партнерское вознаграждение не подменяет оплату этих работ.</w:t>
      </w:r>
    </w:p>
    <w:p>
      <w:pPr>
        <w:pStyle w:val="Heading2"/>
      </w:pPr>
      <w:r>
        <w:t>2 Присоединение и статус</w:t>
      </w:r>
    </w:p>
    <w:p>
      <w:r>
        <w:t>Партнер принимает настоящие Правила отдельным подтверждением в личном кабинете. Оператор сохраняет полный текст, версию, контрольную сумму и сведения о подтверждении. Выплата возможна после проверки личности, налогового статуса и реквизитов. Партнер действует от собственного имени и не вправе заключать договоры или обещать гарантии от имени Оператора.</w:t>
      </w:r>
    </w:p>
    <w:p>
      <w:pPr>
        <w:pStyle w:val="Heading2"/>
      </w:pPr>
      <w:r>
        <w:t>3 Закрепление Заказчика и заказа</w:t>
      </w:r>
    </w:p>
    <w:p>
      <w:r>
        <w:t>При регистрации Заказчика по действующей партнерской ссылке Сервис сохраняет идентификаторы Заказчика, Партнера и ссылки, дату регистрации и события перехода. Заказчик закрепляется за первым зафиксированным источником. Уже зарегистрированного Заказчика последующая ссылка не перезакрепляет.</w:t>
      </w:r>
    </w:p>
    <w:p>
      <w:r>
        <w:t>Для реферальной ссылки право относится только к первому созданному проекту такого Заказчика: при его создании Сервис однократно сохраняет идентификатор первого проекта и дату. Последующие проекты автоматически вознаграждения не дают. Отмена первого проекта не переносит атрибуцию на следующий проект.</w:t>
      </w:r>
    </w:p>
    <w:p>
      <w:r>
        <w:t>Для проекта, непосредственно созданного Партнером или переданного через интеграцию Смета М2, Сервис сохраняет автора, источник, Партнера и идентификатор проекта. Основание «проект Партнера» либо «первый реферальный заказ» проверяется до установления партнерской доли. Само указание имени Партнера в комментарии не является основанием.</w:t>
      </w:r>
    </w:p>
    <w:p>
      <w:pPr>
        <w:pStyle w:val="Heading2"/>
      </w:pPr>
      <w:r>
        <w:t>4 Условия конкретного заказа</w:t>
      </w:r>
    </w:p>
    <w:p>
      <w:r>
        <w:t>Общие и индивидуальные настройки могут задавать разные проценты для новых заказов. Для каждого заказа процент фиксируется при публикации, а при заключении сделки сохраняются точные процент и сумма, идентификатор Партнера и полная цена. Именно эти значения используются для расчета и включаются в договор и банковский расчет. Последующие изменения настроек не пересчитывают существующую сделку.</w:t>
      </w:r>
    </w:p>
    <w:p>
      <w:r>
        <w:t>База полного вознаграждения — полная цена основных работ по заключенной сделке. Полная партнерская сумма рассчитывается из сохраненного процента с округлением до копейки и фиксируется в сделке. Дополнительные работы не создают нового партнерского вознаграждения.</w:t>
      </w:r>
    </w:p>
    <w:p>
      <w:pPr>
        <w:pStyle w:val="Heading2"/>
      </w:pPr>
      <w:r>
        <w:t>5 Возникновение права и расчет</w:t>
      </w:r>
    </w:p>
    <w:p>
      <w:r>
        <w:t>Регистрация, создание проекта и одна лишь предоплата не дают права на выплату. Право возникает по основным работам, принятым по подписанным обеими сторонами актам и обеспеченным подтвержденными поступлениями по заказу, при отсутствии открытого спора или отмены.</w:t>
      </w:r>
    </w:p>
    <w:p>
      <w:r>
        <w:t>Если П — полное партнерское вознаграждение, М — полное вознаграждение Мастера за основные работы, А — сумма принятых основных работ, обеспеченная поступлениями, начислено не более П: округленная до копейки сумма П × min(А, М) / М. При М = 0 начисление равно нулю. Доступно к новой выплате — начислено за вычетом уже выплаченного и активных заявок. При полной приемке и оплате начислено ровно П.</w:t>
      </w:r>
    </w:p>
    <w:p>
      <w:r>
        <w:t>Выплата не обусловлена предварительным выводом денег Мастером или поступлением комиссии Оператора на его расчетный счет. При споре начисленная учетная сумма не означает права обойти приостановление выплаты.</w:t>
      </w:r>
    </w:p>
    <w:p>
      <w:pPr>
        <w:pStyle w:val="Heading2"/>
      </w:pPr>
      <w:r>
        <w:t>6 Источник и порядок выплаты</w:t>
      </w:r>
    </w:p>
    <w:p>
      <w:r>
        <w:t>Обязанность выплатить партнерское вознаграждение несет Оператор. Партнер соглашается получить его непосредственно из партнерской части цены заказа с номинального счета Оператора в ООО «Банк Точка» по поручению Заказчика, в счет обязательства Заказчика оплатить услуги Оператора. Это исполнение обязательства Оператора третьим лицом; повторной выплаты той же суммы от Оператора нет.</w:t>
      </w:r>
    </w:p>
    <w:p>
      <w:r>
        <w:t>Бенефициаром средств заказа до их перечисления остается Заказчик. Партнер — получатель выплаты. Заказчик заранее согласовывает конкретную партнерскую сумму в документах заказа. Партнер подает заявку на доступную сумму в кабинете; Оператор проверяет основания и передает распоряжение банку. Срок зачисления зависит от банка и проверок.</w:t>
      </w:r>
    </w:p>
    <w:p>
      <w:pPr>
        <w:pStyle w:val="Heading2"/>
      </w:pPr>
      <w:r>
        <w:t>7 Подтверждение банку</w:t>
      </w:r>
    </w:p>
    <w:p>
      <w:r>
        <w:t>Оператор формирует PDF с расчетом по конкретной заявке. Он содержит Заказчика и Партнера, номера проекта, заказа и сделки, основание атрибуции, сохраненный процент и суммы, формулу, обеспеченные поступлениями подписанные акты, ранее заявленные и выплаченные суммы, сумму текущей заявки и сведения об акцепте Правил.</w:t>
      </w:r>
    </w:p>
    <w:p>
      <w:r>
        <w:t>Расчет передается с подписанным договором подряда и подтверждением поручения Заказчика на распределение цены. Условия не подтверждаются одной лишь ссылкой на изменяемый интерфейс. По обращению Партнер получает расчет и основания отказа или корректировки.</w:t>
      </w:r>
    </w:p>
    <w:p>
      <w:pPr>
        <w:pStyle w:val="Heading2"/>
      </w:pPr>
      <w:r>
        <w:t>8 Добросовестность и налоги</w:t>
      </w:r>
    </w:p>
    <w:p>
      <w:r>
        <w:t>Запрещены фиктивные регистрации, подмена источника, саморефералы, дублирование заказов и передача данных без законного основания. Партнер отвечает за согласие Заказчика на передачу данных и правомерность материалов. Вознаграждение за недействительные действия не выплачивается.</w:t>
      </w:r>
    </w:p>
    <w:p>
      <w:r>
        <w:t>Партнер предоставляет достоверные налоговые сведения и документы о доходе, включая чек самозанятого, когда он требуется законом. Обязанности Оператора как налогового агента определяются законом. Прекращение участия не отменяет правомерно возникшие обязательства.</w:t>
      </w:r>
    </w:p>
    <w:p>
      <w:pPr>
        <w:pStyle w:val="Heading2"/>
      </w:pPr>
      <w:r>
        <w:t>9 Обращения и изменения</w:t>
      </w:r>
    </w:p>
    <w:p>
      <w:r>
        <w:t>Расхождения направляются через поддержку или на support@kvadrat-m2.com с идентификатором проекта, ссылки и заказа. Новая редакция применяется после нового подтверждения и не изменяет сохраненные условия заключенных сделок. Подписанные документы и история подтверждений сохраняются.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