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r>
    </w:p>
    <w:p>
      <w:r>
        <w:t>Какие данные обрабатывает Сервис, зачем, на каком основании и как защищает их.</w:t>
      </w:r>
    </w:p>
    <w:p>
      <w:r>
        <w:t>Редакция № 3 от 31 июля 2026 года. Код 2026-07-31-r3.</w:t>
      </w:r>
    </w:p>
    <w:p>
      <w:pPr>
        <w:pStyle w:val="Heading2"/>
      </w:pPr>
      <w:r>
        <w:t>1. Оператор</w:t>
      </w:r>
    </w:p>
    <w:p>
      <w:r>
        <w:t>ООО «Квадратный метр», ИНН 7203470484, ОГРН 1197232001504, КПП 720301001, адрес: Тюменская область, г. Тюмень, ул. Республики, д. 252, к. 7, офис 410 (далее — «Оператор» или «Сервис»). По вопросам обработки данных можно обратиться на support@kvadrat-m2.com или через форму поддержки.</w:t>
      </w:r>
    </w:p>
    <w:p>
      <w:r>
        <w:t>Политика применяется к сайту, личным кабинетам, мобильному веб-приложению, уведомлениям и связанным процессам Смета М2 Pro.</w:t>
      </w:r>
    </w:p>
    <w:p>
      <w:pPr>
        <w:pStyle w:val="Heading2"/>
      </w:pPr>
      <w:r>
        <w:t>2. Категории данных</w:t>
      </w:r>
    </w:p>
    <w:p>
      <w:pPr>
        <w:pStyle w:val="ListBullet"/>
      </w:pPr>
      <w:r>
        <w:t>ФИО, дата рождения, телефон, email, адрес, город, роль и данные учетной записи.</w:t>
      </w:r>
    </w:p>
    <w:p>
      <w:pPr>
        <w:pStyle w:val="ListBullet"/>
      </w:pPr>
      <w:r>
        <w:t>Паспортные, банковские, налоговые и профессиональные сведения, когда они необходимы для проверки и расчетов.</w:t>
      </w:r>
    </w:p>
    <w:p>
      <w:pPr>
        <w:pStyle w:val="ListBullet"/>
      </w:pPr>
      <w:r>
        <w:t>Данные заказов: адрес объекта, сметы, документы, фото, видео, аудио, переписка, подписи и история действий.</w:t>
      </w:r>
    </w:p>
    <w:p>
      <w:pPr>
        <w:pStyle w:val="ListBullet"/>
      </w:pPr>
      <w:r>
        <w:t>Технические данные: IP-адрес, cookie, сведения об устройстве, браузере, сессиях и событиях безопасности.</w:t>
      </w:r>
    </w:p>
    <w:p>
      <w:pPr>
        <w:pStyle w:val="Heading2"/>
      </w:pPr>
      <w:r>
        <w:t>3. Цели и основания</w:t>
      </w:r>
    </w:p>
    <w:p>
      <w:pPr>
        <w:pStyle w:val="ListBullet"/>
      </w:pPr>
      <w:r>
        <w:t>Заключение и исполнение пользовательского соглашения и документов сделки.</w:t>
      </w:r>
    </w:p>
    <w:p>
      <w:pPr>
        <w:pStyle w:val="ListBullet"/>
      </w:pPr>
      <w:r>
        <w:t>Идентификация, проверка участников, электронное подписание и предотвращение злоупотреблений.</w:t>
      </w:r>
    </w:p>
    <w:p>
      <w:pPr>
        <w:pStyle w:val="ListBullet"/>
      </w:pPr>
      <w:r>
        <w:t>Прием и маршрутизация платежей, ведение номинального счета, бухгалтерский и налоговый учет.</w:t>
      </w:r>
    </w:p>
    <w:p>
      <w:pPr>
        <w:pStyle w:val="ListBullet"/>
      </w:pPr>
      <w:r>
        <w:t>Поддержка, уведомления о ходе заказа, рассмотрение споров и исполнение требований закона.</w:t>
      </w:r>
    </w:p>
    <w:p>
      <w:pPr>
        <w:pStyle w:val="ListBullet"/>
      </w:pPr>
      <w:r>
        <w:t>Аналитика и улучшение Сервиса — в пределах согласия или законного интереса без нарушения прав пользователя.</w:t>
      </w:r>
    </w:p>
    <w:p>
      <w:pPr>
        <w:pStyle w:val="Heading2"/>
      </w:pPr>
      <w:r>
        <w:t>4. Операции и сроки</w:t>
      </w:r>
    </w:p>
    <w:p>
      <w:r>
        <w:t>Оператор собирает, записывает, систематизирует, хранит, уточняет, извлекает, использует, передает, обезличивает, блокирует и уничтожает данные автоматизированно и без автоматизации.</w:t>
      </w:r>
    </w:p>
    <w:p>
      <w:r>
        <w:t>Данные хранятся до достижения цели, окончания обязательных сроков хранения или отзыва согласия, если отсутствует иное законное основание. Документы сделки и сведения учета могут храниться в сроки, установленные гражданским, бухгалтерским и налоговым законодательством.</w:t>
      </w:r>
    </w:p>
    <w:p>
      <w:pPr>
        <w:pStyle w:val="Heading2"/>
      </w:pPr>
      <w:r>
        <w:t>5. Получатели</w:t>
      </w:r>
    </w:p>
    <w:p>
      <w:pPr>
        <w:pStyle w:val="ListBullet"/>
      </w:pPr>
      <w:r>
        <w:t>Другие участники конкретного заказа — только в необходимом для его исполнения объеме.</w:t>
      </w:r>
    </w:p>
    <w:p>
      <w:pPr>
        <w:pStyle w:val="ListBullet"/>
      </w:pPr>
      <w:r>
        <w:t>ООО «Банк Точка», АО «Точка» и иные платежные партнеры — для безопасных расчетов и обязательных проверок.</w:t>
      </w:r>
    </w:p>
    <w:p>
      <w:pPr>
        <w:pStyle w:val="ListBullet"/>
      </w:pPr>
      <w:r>
        <w:t>Провайдеры хостинга, хранения, почтовых и коммуникационных услуг — по поручению Оператора и с обязанностью конфиденциальности.</w:t>
      </w:r>
    </w:p>
    <w:p>
      <w:pPr>
        <w:pStyle w:val="ListBullet"/>
      </w:pPr>
      <w:r>
        <w:t>Государственные органы — при наличии законного требования.</w:t>
      </w:r>
    </w:p>
    <w:p>
      <w:pPr>
        <w:pStyle w:val="Heading2"/>
      </w:pPr>
      <w:r>
        <w:t>6. Права субъекта</w:t>
      </w:r>
    </w:p>
    <w:p>
      <w:r>
        <w:t>Пользователь вправе получать сведения об обработке, требовать уточнения, блокирования или уничтожения данных, отозвать согласие и обжаловать действия Оператора. Отзыв не отменяет обработку, необходимую для исполнения закона или уже заключенного договора.</w:t>
      </w:r>
    </w:p>
    <w:p>
      <w:pPr>
        <w:pStyle w:val="Heading2"/>
      </w:pPr>
      <w:r>
        <w:t>7. Защита</w:t>
      </w:r>
    </w:p>
    <w:p>
      <w:r>
        <w:t>Оператор применяет разграничение доступа, журналирование, шифрование передаваемых данных, резервное копирование, контроль уязвимостей и организационные меры. При инцидентах выполняются предусмотренные законом действия и уведомления.</w:t>
      </w:r>
    </w:p>
    <w:p>
      <w:pPr>
        <w:pStyle w:val="Heading2"/>
      </w:pPr>
      <w:r>
        <w:t>8. Принципы обработки</w:t>
      </w:r>
    </w:p>
    <w:p>
      <w:r>
        <w:t>Оператор обрабатывает персональные данные законно и справедливо, ограничивает обработку заранее определенными целями, не объединяет несовместимые базы и не собирает сведения сверх необходимого объема. Содержание и объем данных соотносятся с заявленными целями.</w:t>
      </w:r>
    </w:p>
    <w:p>
      <w:r>
        <w:t>При достижении цели или утрате законного основания данные уничтожаются либо обезличиваются, если иное не предусмотрено законом, договором или необходимостью разрешить спор.</w:t>
      </w:r>
    </w:p>
    <w:p>
      <w:pPr>
        <w:pStyle w:val="Heading2"/>
      </w:pPr>
      <w:r>
        <w:t>9. Правовые основания</w:t>
      </w:r>
    </w:p>
    <w:p>
      <w:pPr>
        <w:pStyle w:val="ListBullet"/>
      </w:pPr>
      <w:r>
        <w:t>Согласие субъекта персональных данных, выраженное отдельным активным действием в интерфейсе.</w:t>
      </w:r>
    </w:p>
    <w:p>
      <w:pPr>
        <w:pStyle w:val="ListBullet"/>
      </w:pPr>
      <w:r>
        <w:t>Необходимость заключить и исполнить Пользовательское соглашение и конкретную Сделку по инициативе субъекта.</w:t>
      </w:r>
    </w:p>
    <w:p>
      <w:pPr>
        <w:pStyle w:val="ListBullet"/>
      </w:pPr>
      <w:r>
        <w:t>Исполнение обязанностей Оператора, установленных гражданским, налоговым, бухгалтерским, банковским и иным законодательством.</w:t>
      </w:r>
    </w:p>
    <w:p>
      <w:pPr>
        <w:pStyle w:val="ListBullet"/>
      </w:pPr>
      <w:r>
        <w:t>Осуществление прав и законных интересов Оператора или третьих лиц при условии, что права и свободы субъекта не нарушаются.</w:t>
      </w:r>
    </w:p>
    <w:p>
      <w:pPr>
        <w:pStyle w:val="ListBullet"/>
      </w:pPr>
      <w:r>
        <w:t>Обработка общедоступных данных — исключительно в пределах, в которых они сделаны общедоступными самим субъектом либо на ином законном основании.</w:t>
      </w:r>
    </w:p>
    <w:p>
      <w:pPr>
        <w:pStyle w:val="Heading2"/>
      </w:pPr>
      <w:r>
        <w:t>10. Состав данных по основным целям</w:t>
      </w:r>
    </w:p>
    <w:p>
      <w:pPr>
        <w:pStyle w:val="ListBullet"/>
      </w:pPr>
      <w:r>
        <w:t>Регистрация и доступ: ФИО, телефон, email, идентификаторы аккаунта, роль, сведения о входах и сессиях.</w:t>
      </w:r>
    </w:p>
    <w:p>
      <w:pPr>
        <w:pStyle w:val="ListBullet"/>
      </w:pPr>
      <w:r>
        <w:t>Проверка профиля: паспортные и налоговые сведения, фотографии документов, банковские реквизиты, профессиональные данные и результаты проверки.</w:t>
      </w:r>
    </w:p>
    <w:p>
      <w:pPr>
        <w:pStyle w:val="ListBullet"/>
      </w:pPr>
      <w:r>
        <w:t>Заказ и Сделка: адрес объекта, виды и сроки работ, бюджет, сметы, договоры, акты, материалы, переписка и история решений.</w:t>
      </w:r>
    </w:p>
    <w:p>
      <w:pPr>
        <w:pStyle w:val="ListBullet"/>
      </w:pPr>
      <w:r>
        <w:t>Безопасные расчеты: идентификационные данные, статус бенефициара, реквизиты, сведения о платеже, возврате, комиссии и подтверждающих документах.</w:t>
      </w:r>
    </w:p>
    <w:p>
      <w:pPr>
        <w:pStyle w:val="ListBullet"/>
      </w:pPr>
      <w:r>
        <w:t>Поддержка и споры: содержание обращения, записи общения, доказательства, техническая диагностика и результат рассмотрения.</w:t>
      </w:r>
    </w:p>
    <w:p>
      <w:pPr>
        <w:pStyle w:val="ListBullet"/>
      </w:pPr>
      <w:r>
        <w:t>Безопасность: IP-адрес, тип устройства и браузера, cookie, журналы действий, признаки подозрительной активности и сведения об инцидентах.</w:t>
      </w:r>
    </w:p>
    <w:p>
      <w:pPr>
        <w:pStyle w:val="Heading2"/>
      </w:pPr>
      <w:r>
        <w:t>11. Специальные категории и биометрия</w:t>
      </w:r>
    </w:p>
    <w:p>
      <w:r>
        <w:t>Оператор не ставит целью обработку сведений о расовой или национальной принадлежности, политических взглядах, религиозных убеждениях, здоровье или интимной жизни. Пользователь не должен загружать такие сведения без объективной необходимости и законного основания.</w:t>
      </w:r>
    </w:p>
    <w:p>
      <w:r>
        <w:t>Фотография документа или лица используется для идентификации и проверки и сама по себе не признается биометрическими персональными данными, если Оператор не применяет ее для установления личности посредством специальной биометрической обработки. При внедрении такой обработки будет получено отдельное согласие, когда оно требуется законом.</w:t>
      </w:r>
    </w:p>
    <w:p>
      <w:pPr>
        <w:pStyle w:val="Heading2"/>
      </w:pPr>
      <w:r>
        <w:t>12. Поручение обработки и получатели</w:t>
      </w:r>
    </w:p>
    <w:p>
      <w:r>
        <w:t>Оператор вправе поручить обработку лицам, предоставляющим облачную инфраструктуру, хранение файлов, отправку email и сообщений, поддержку, аналитику, проверку данных, электронный документооборот и платежные функции. В поручении определяются перечень данных, операции, цели, конфиденциальность и требования к защите.</w:t>
      </w:r>
    </w:p>
    <w:p>
      <w:r>
        <w:t>Участники конкретного Заказа получают только сведения, необходимые для своей роли и стадии Сделки. Контактные данные могут быть закрыты до наступления предусмотренного бизнес-процессом события.</w:t>
      </w:r>
    </w:p>
    <w:p>
      <w:r>
        <w:t>Для расчетов и комплаенс-проверок сведения передаются ООО «Банк Точка» и АО «Точка» в объеме, необходимом для регистрации бенефициара, проверки документов и совершения операций. Самостоятельные цели таких получателей регулируются их документами и законом.</w:t>
      </w:r>
    </w:p>
    <w:p>
      <w:pPr>
        <w:pStyle w:val="Heading2"/>
      </w:pPr>
      <w:r>
        <w:t>13. Локализация и трансграничная передача</w:t>
      </w:r>
    </w:p>
    <w:p>
      <w:r>
        <w:t>При сборе персональных данных граждан Российской Федерации запись, систематизация, накопление, хранение, уточнение и извлечение осуществляются с использованием баз данных на территории Российской Федерации в предусмотренных законом случаях.</w:t>
      </w:r>
    </w:p>
    <w:p>
      <w:r>
        <w:t>Трансграничная передача не осуществляется без выполнения требований законодательства. До ее начала Оператор оценивает условия передачи, обеспечивает надлежащее основание и выполняет необходимые уведомления или получает разрешение, если они требуются.</w:t>
      </w:r>
    </w:p>
    <w:p>
      <w:pPr>
        <w:pStyle w:val="Heading2"/>
      </w:pPr>
      <w:r>
        <w:t>14. Сроки хранения и уничтожение</w:t>
      </w:r>
    </w:p>
    <w:p>
      <w:r>
        <w:t>Данные учетной записи хранятся в период действия Соглашения и разумный срок после его прекращения для завершения расчетов и защиты прав. Документы Сделки, платежные и бухгалтерские сведения хранятся в обязательные сроки, установленные законом.</w:t>
      </w:r>
    </w:p>
    <w:p>
      <w:r>
        <w:t>Неуспешные коды подтверждения и журналы безопасности хранятся в сроки, необходимые для расследования инцидентов и предотвращения злоупотреблений. Маркетинговые данные обрабатываются до отзыва отдельного согласия.</w:t>
      </w:r>
    </w:p>
    <w:p>
      <w:r>
        <w:t>Уничтожение выполняется способом, исключающим восстановление, с оформлением предусмотренного законом подтверждения. В резервных копиях данные удаляются по циклу их плановой замены при сохранении ограниченного доступа.</w:t>
      </w:r>
    </w:p>
    <w:p>
      <w:pPr>
        <w:pStyle w:val="Heading2"/>
      </w:pPr>
      <w:r>
        <w:t>15. Реализация прав и обращения</w:t>
      </w:r>
    </w:p>
    <w:p>
      <w:r>
        <w:t>Запрос должен позволять идентифицировать заявителя и описывать требование. Чтобы не раскрыть данные постороннему лицу, Оператор вправе запросить подтверждение личности или полномочий представителя.</w:t>
      </w:r>
    </w:p>
    <w:p>
      <w:r>
        <w:t>Субъект вправе получить сведения об Операторе, целях, основаниях, способах и сроках обработки, источниках данных, получателях и лицах, обрабатывающих данные по поручению; потребовать уточнения, блокирования или уничтожения неполных, устаревших, неточных, незаконно полученных или ненужных данных.</w:t>
      </w:r>
    </w:p>
    <w:p>
      <w:r>
        <w:t>Ответ предоставляется в сроки, установленные Федеральным законом № 152-ФЗ. Действия Оператора можно обжаловать в Роскомнадзор или суд.</w:t>
      </w:r>
    </w:p>
    <w:p>
      <w:pPr>
        <w:pStyle w:val="Heading2"/>
      </w:pPr>
      <w:r>
        <w:t>16. Инциденты и актуализация Политики</w:t>
      </w:r>
    </w:p>
    <w:p>
      <w:r>
        <w:t>При выявлении неправомерной или случайной передачи, доступа либо иного инцидента Оператор принимает меры по локализации, оценке последствий, сохранению доказательств и уведомлению уполномоченного органа и субъектов в предусмотренных законом случаях и сроках.</w:t>
      </w:r>
    </w:p>
    <w:p>
      <w:r>
        <w:t>Политика пересматривается при изменении процессов, состава получателей или закона. Новая редакция применяется с указанной даты; когда изменение требует нового согласия, Сервис запросит его отдельно.</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